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bidi w:val="0"/>
        <w:spacing w:lineRule="auto" w:line="240" w:before="240" w:after="48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Alsónyék Község Önkormányzata Képviselő-testületének .../.... (...) önkormányzati rendelete</w:t>
      </w:r>
    </w:p>
    <w:p>
      <w:pPr>
        <w:pStyle w:val="TextBody"/>
        <w:bidi w:val="0"/>
        <w:spacing w:lineRule="auto" w:line="240" w:before="240" w:after="48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az államháztartáson kívüli források átvételéről és átadásáról szóló 6/2014. (III. 20.) önkormányzati rendelet módosításáról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[1] Jelen rendeleti szabályozás célja az önkormányzat által államháztartáson kívülre nyújtott támogatások elszámolási rendjének pontosítása, valamint az alsónyéken működő, rendszeresen támogatott civil szervezetek kiemelt civil szervezetté történő nyilvánítása.</w:t>
      </w:r>
    </w:p>
    <w:p>
      <w:pPr>
        <w:pStyle w:val="TextBody"/>
        <w:bidi w:val="0"/>
        <w:spacing w:lineRule="auto" w:line="240" w:before="12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[2] Alsónyék Község Önkormányzatának Képviselő-testülete Magyarország helyi önkormányzatairól szóló 2011. évi CLXXXIX. törvény 41. § (9) bekezdésében kapott felhatalmazás alapján, az Alaptörvény 32. cikk (1) bekezdés a) pontjában meghatározott feladatkörében eljárva, a képviselő-testület és szervei szervezeti és működési szabályzatáról szóló 2/2011 (II.15.) önkormányzati rendelet 25. § (4) bekezdésében biztosított véleményezési jogkörében eljáró Gazdasági és Szociális Bizottság véleményének kikérésével a következőket rendeli el: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(1) Az államháztartáson kívüli források átvételéről és átadásáról szóló 6/2014. (III. 20.) önkormányzati rendelet 3. § (1) bekezdése helyébe a következő rendelkezés lép:</w:t>
      </w:r>
    </w:p>
    <w:p>
      <w:pPr>
        <w:pStyle w:val="TextBody"/>
        <w:bidi w:val="0"/>
        <w:spacing w:lineRule="auto" w:line="240" w:before="240" w:after="24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(1) Alsónyék Község Önkormányzata (a továbbiakban: Önkormányzat) tárgyévi költségvetési rendeletében határozhatja meg azon költségvetési előirányzatait, amelyek terhére támogatás adható. Az e célra elkülönített forrás felhasználásáról a tárgyévben a képviselő-testület dönt.”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(2) Az államháztartáson kívüli források átvételéről és átadásáról szóló 6/2014. (III. 20.) önkormányzati rendelet 3. §-a a következő (1a) bekezdéssel egészül ki: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(1a) Alsónyék Község Önkormányzatának Képviselő-testülete (a továbbiakban: képviselő-testület) az önkormányzat mindenkori évi költségvetési rendeletében kiemelt szervezetnek minősíti, és így az önkormányzat tárgyévi költségvetési rendeletében közvetlen támogatást állapít meg:</w:t>
      </w:r>
    </w:p>
    <w:p>
      <w:pPr>
        <w:pStyle w:val="TextBody"/>
        <w:bidi w:val="0"/>
        <w:spacing w:lineRule="auto" w:line="240" w:before="0" w:after="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a)</w:t>
      </w:r>
      <w:r>
        <w:rPr>
          <w:sz w:val="24"/>
          <w:szCs w:val="24"/>
        </w:rPr>
        <w:tab/>
        <w:t>az Alsónyéki Népi Hagyományőrző Alapítvány,</w:t>
      </w:r>
    </w:p>
    <w:p>
      <w:pPr>
        <w:pStyle w:val="TextBody"/>
        <w:bidi w:val="0"/>
        <w:spacing w:lineRule="auto" w:line="240" w:before="0" w:after="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b)</w:t>
      </w:r>
      <w:r>
        <w:rPr>
          <w:sz w:val="24"/>
          <w:szCs w:val="24"/>
        </w:rPr>
        <w:tab/>
        <w:t xml:space="preserve"> az Ős-Szellemiség Egyesület,</w:t>
      </w:r>
    </w:p>
    <w:p>
      <w:pPr>
        <w:pStyle w:val="TextBody"/>
        <w:bidi w:val="0"/>
        <w:spacing w:lineRule="auto" w:line="240" w:before="0" w:after="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c)</w:t>
      </w:r>
      <w:r>
        <w:rPr>
          <w:sz w:val="24"/>
          <w:szCs w:val="24"/>
        </w:rPr>
        <w:tab/>
        <w:t>a Bátaszéki Önkormányzati Tűzoltóság Köztestület,</w:t>
      </w:r>
    </w:p>
    <w:p>
      <w:pPr>
        <w:pStyle w:val="TextBody"/>
        <w:bidi w:val="0"/>
        <w:spacing w:lineRule="auto" w:line="240" w:before="0" w:after="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d)</w:t>
      </w:r>
      <w:r>
        <w:rPr>
          <w:sz w:val="24"/>
          <w:szCs w:val="24"/>
        </w:rPr>
        <w:tab/>
        <w:t>a Magyar Galambtenyésztők Egyesülete Bátaszék,</w:t>
      </w:r>
    </w:p>
    <w:p>
      <w:pPr>
        <w:pStyle w:val="TextBody"/>
        <w:bidi w:val="0"/>
        <w:spacing w:lineRule="auto" w:line="240" w:before="0" w:after="24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e)</w:t>
      </w:r>
      <w:r>
        <w:rPr>
          <w:sz w:val="24"/>
          <w:szCs w:val="24"/>
        </w:rPr>
        <w:tab/>
        <w:t>a Bátaszék Város Polgárőr Egyesülete.”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(3) Az államháztartáson kívüli források átvételéről és átadásáról szóló 6/2014. (III. 20.) önkormányzati rendelet 3. § (2) bekezdése helyébe a következő rendelkezés lép:</w:t>
      </w:r>
    </w:p>
    <w:p>
      <w:pPr>
        <w:pStyle w:val="TextBody"/>
        <w:bidi w:val="0"/>
        <w:spacing w:lineRule="auto" w:line="240" w:before="240" w:after="24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 xml:space="preserve">(2) Amennyiben a képviselő-testület éves költségvetési rendeletében a kiemelt civil szervezetek támogatásán kívüli keretet állapít meg egyéb </w:t>
      </w:r>
      <w:r>
        <w:rPr>
          <w:i/>
          <w:iCs/>
          <w:sz w:val="24"/>
          <w:szCs w:val="24"/>
        </w:rPr>
        <w:t>civil szervezetek</w:t>
      </w:r>
      <w:r>
        <w:rPr>
          <w:sz w:val="24"/>
          <w:szCs w:val="24"/>
        </w:rPr>
        <w:t xml:space="preserve"> támogatására úgy a költségvetési rendelet hatálybalépését követő 10 napon belül a támogatás elnyerésére irányuló pályázati felhívást közzé kell tenni a község honlapján (www.alsonyek.hu).”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Az államháztartáson kívüli források átvételéről és átadásáról szóló 6/2014. (III. 20.) önkormányzati rendelet 4. § (1) bekezdése helyébe a következő rendelkezés lép: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(1) Támogatás nyújtható</w:t>
      </w:r>
    </w:p>
    <w:p>
      <w:pPr>
        <w:pStyle w:val="TextBody"/>
        <w:bidi w:val="0"/>
        <w:spacing w:lineRule="auto" w:line="240" w:before="0" w:after="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a)</w:t>
      </w:r>
      <w:r>
        <w:rPr>
          <w:sz w:val="24"/>
          <w:szCs w:val="24"/>
        </w:rPr>
        <w:tab/>
        <w:t xml:space="preserve"> e rendelet 3. § (1a) bekezdésében meghatározott módon,</w:t>
      </w:r>
    </w:p>
    <w:p>
      <w:pPr>
        <w:pStyle w:val="TextBody"/>
        <w:bidi w:val="0"/>
        <w:spacing w:lineRule="auto" w:line="240" w:before="0" w:after="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b)</w:t>
      </w:r>
      <w:r>
        <w:rPr>
          <w:sz w:val="24"/>
          <w:szCs w:val="24"/>
        </w:rPr>
        <w:tab/>
        <w:t>az önkormányzat által támogatás elnyerésére kiírt felhívás, és az arra benyújtott kérelem elbírálása vagy</w:t>
      </w:r>
    </w:p>
    <w:p>
      <w:pPr>
        <w:pStyle w:val="TextBody"/>
        <w:bidi w:val="0"/>
        <w:spacing w:lineRule="auto" w:line="240" w:before="0" w:after="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c)</w:t>
      </w:r>
      <w:r>
        <w:rPr>
          <w:sz w:val="24"/>
          <w:szCs w:val="24"/>
        </w:rPr>
        <w:tab/>
        <w:t>támogatás elnyerésére kiírt felhívás nélkül, egyedi kérelem benyújtása és annak elbírálása útján;</w:t>
      </w:r>
    </w:p>
    <w:p>
      <w:pPr>
        <w:pStyle w:val="TextBody"/>
        <w:bidi w:val="0"/>
        <w:spacing w:lineRule="auto" w:line="240" w:before="0" w:after="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d)</w:t>
      </w:r>
      <w:r>
        <w:rPr>
          <w:sz w:val="24"/>
          <w:szCs w:val="24"/>
        </w:rPr>
        <w:tab/>
        <w:t>felhalmozási és működési célra;</w:t>
      </w:r>
    </w:p>
    <w:p>
      <w:pPr>
        <w:pStyle w:val="TextBody"/>
        <w:bidi w:val="0"/>
        <w:spacing w:lineRule="auto" w:line="240" w:before="0" w:after="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e)</w:t>
      </w:r>
      <w:r>
        <w:rPr>
          <w:sz w:val="24"/>
          <w:szCs w:val="24"/>
        </w:rPr>
        <w:tab/>
        <w:t>visszatérítendő vagy vissza nem térítendő pénzbeli vagy</w:t>
      </w:r>
    </w:p>
    <w:p>
      <w:pPr>
        <w:pStyle w:val="TextBody"/>
        <w:bidi w:val="0"/>
        <w:spacing w:lineRule="auto" w:line="240" w:before="0" w:after="24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f)</w:t>
      </w:r>
      <w:r>
        <w:rPr>
          <w:sz w:val="24"/>
          <w:szCs w:val="24"/>
        </w:rPr>
        <w:tab/>
        <w:t>természetbeni formában.”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Az államháztartáson kívüli források átvételéről és átadásáról szóló 6/2014. (III. 20.) önkormányzati rendelet 6. § (1) bekezdése helyébe a következő rendelkezés lép:</w:t>
      </w:r>
    </w:p>
    <w:p>
      <w:pPr>
        <w:pStyle w:val="TextBody"/>
        <w:bidi w:val="0"/>
        <w:spacing w:lineRule="auto" w:line="240" w:before="240" w:after="24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(1) A 3. § (2) bekezdésben meghatározott civil szervezeteknek a működésüket célzó támogatás elnyerésére legkésőbb a tárgyévi önkormányzati költségvetési rendelet hatálybalépését követő 60 (hatvan) napon belül kell e rendelet 1. mellékletét képező adatlapon benyújtani a támogatási kérelmet a Bátaszéki Közös Önkormányzati Hivatal (a továbbiakban: KÖH) alsónyéki ügyfélszolgálati megbízottjánál.”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Az államháztartáson kívüli források átvételéről és átadásáról szóló 6/2014. (III. 20.) önkormányzati rendelet 7. §-a helyébe a következő rendelkezés lép: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„</w:t>
      </w:r>
      <w:r>
        <w:rPr>
          <w:b/>
          <w:bCs/>
          <w:sz w:val="24"/>
          <w:szCs w:val="24"/>
        </w:rPr>
        <w:t>7. §</w:t>
      </w:r>
    </w:p>
    <w:p>
      <w:pPr>
        <w:pStyle w:val="TextBody"/>
        <w:bidi w:val="0"/>
        <w:spacing w:lineRule="auto" w:line="240" w:before="0" w:after="24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Támogatásban - e rendelet 3. § (1a) bekezdésében foglalt szervezetek kivételével - csak az a pályázó részesülhet, aki a támogatási felhívásnak maradéktalanul megfelelő kérelmet, illetve egyedi kérelem esetén részletes indoklással ellátott írásos kérelmet nyújt be és ahhoz valamennyi szükséges mellékletet csatolja.”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Az államháztartáson kívüli források átvételéről és átadásáról szóló 6/2014. (III. 20.) önkormányzati rendelet 10. §-a helyébe a következő rendelkezés lép: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„</w:t>
      </w:r>
      <w:r>
        <w:rPr>
          <w:b/>
          <w:bCs/>
          <w:sz w:val="24"/>
          <w:szCs w:val="24"/>
        </w:rPr>
        <w:t>10.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Nem részesíthető pénzügyi támogatásban és a folyósított támogatást az erről szóló értesítést követő 10 napon belül, a Polgári Törvénykönyvről szóló 2013. évi V. törvény szerinti kamattal növelt mértékben köteles visszafizetni az a civil szervezet;</w:t>
      </w:r>
    </w:p>
    <w:p>
      <w:pPr>
        <w:pStyle w:val="TextBody"/>
        <w:bidi w:val="0"/>
        <w:spacing w:lineRule="auto" w:line="240" w:before="0" w:after="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a)</w:t>
      </w:r>
      <w:r>
        <w:rPr>
          <w:sz w:val="24"/>
          <w:szCs w:val="24"/>
        </w:rPr>
        <w:tab/>
        <w:t>a benyújtott támogatási, illetve elszámolási dokumentációjában megtévesztő, vagy valótlan adatot szolgáltatott;</w:t>
      </w:r>
    </w:p>
    <w:p>
      <w:pPr>
        <w:pStyle w:val="TextBody"/>
        <w:bidi w:val="0"/>
        <w:spacing w:lineRule="auto" w:line="240" w:before="0" w:after="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b)</w:t>
      </w:r>
      <w:r>
        <w:rPr>
          <w:sz w:val="24"/>
          <w:szCs w:val="24"/>
        </w:rPr>
        <w:tab/>
        <w:t>amely az előző évben kapott pénzügyi támogatással nem megfelelően számolt el;</w:t>
      </w:r>
    </w:p>
    <w:p>
      <w:pPr>
        <w:pStyle w:val="TextBody"/>
        <w:bidi w:val="0"/>
        <w:spacing w:lineRule="auto" w:line="240" w:before="0" w:after="24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c)</w:t>
      </w:r>
      <w:r>
        <w:rPr>
          <w:sz w:val="24"/>
          <w:szCs w:val="24"/>
        </w:rPr>
        <w:tab/>
        <w:t>az előző évben kapott támogatást – a képviselő-testület előzetes hozzájárulása nélkül – a jóváhagyott céltól eltérően használta fel.”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Az államháztartáson kívüli források átvételéről és átadásáról szóló 6/2014. (III. 20.) önkormányzati rendelet 12. § (2) és (3) bekezdése helyébe a következő rendelkezések lépnek: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(2) Az elszámolási kötelezettségének a Támogatott e rendelet 3. mellékletében meghatározott útmutató szabályai szerint köteles eleget tenni.</w:t>
      </w:r>
    </w:p>
    <w:p>
      <w:pPr>
        <w:pStyle w:val="TextBody"/>
        <w:bidi w:val="0"/>
        <w:spacing w:lineRule="auto" w:line="240" w:before="240" w:after="24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(3) Az elszámolások elfogadásáról a képviselő-testület dönt.”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(1) Az államháztartáson kívüli források átvételéről és átadásáról szóló 6/2014. (III. 20.) önkormányzati rendelet 2. melléklete helyébe az 1. melléklet lép.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(2) Az államháztartáson kívüli források átvételéről és átadásáról szóló 6/2014. (III. 20.) önkormányzati rendelet a 2. melléklet szerinti 3. melléklettel egészül ki.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Ez a rendelet a kihirdetését követő napon lép hatályba.</w:t>
      </w:r>
      <w:r>
        <w:br w:type="page"/>
      </w:r>
    </w:p>
    <w:p>
      <w:pPr>
        <w:pStyle w:val="TextBody"/>
        <w:bidi w:val="0"/>
        <w:spacing w:lineRule="auto" w:line="240"/>
        <w:jc w:val="right"/>
        <w:rPr>
          <w:rFonts w:ascii="Times New Roman" w:hAnsi="Times New Roman"/>
          <w:i/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1. melléklet az .../... . (... . ... .) önkormányzati rendelethez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i/>
          <w:iCs/>
          <w:sz w:val="24"/>
          <w:szCs w:val="24"/>
        </w:rPr>
        <w:t>2. melléklet</w:t>
      </w:r>
    </w:p>
    <w:p>
      <w:pPr>
        <w:pStyle w:val="TextBody"/>
        <w:bidi w:val="0"/>
        <w:spacing w:lineRule="auto" w:line="240" w:before="240" w:after="48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Elszámoló lap</w:t>
      </w:r>
    </w:p>
    <w:tbl>
      <w:tblPr>
        <w:tblW w:w="5000" w:type="pct"/>
        <w:jc w:val="lef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5"/>
        <w:gridCol w:w="1253"/>
        <w:gridCol w:w="675"/>
        <w:gridCol w:w="1446"/>
        <w:gridCol w:w="482"/>
        <w:gridCol w:w="482"/>
        <w:gridCol w:w="1638"/>
        <w:gridCol w:w="675"/>
        <w:gridCol w:w="675"/>
        <w:gridCol w:w="771"/>
        <w:gridCol w:w="578"/>
        <w:gridCol w:w="578"/>
      </w:tblGrid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Elszámoló lap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_______. évi támogatás elszámolásához</w:t>
            </w:r>
          </w:p>
        </w:tc>
      </w:tr>
      <w:tr>
        <w:trPr/>
        <w:tc>
          <w:tcPr>
            <w:tcW w:w="1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Támogatási szerződés száma:</w:t>
            </w:r>
          </w:p>
        </w:tc>
        <w:tc>
          <w:tcPr>
            <w:tcW w:w="800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Kedvezményezett/Támogatott neve:</w:t>
            </w:r>
          </w:p>
        </w:tc>
        <w:tc>
          <w:tcPr>
            <w:tcW w:w="800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Székhelye:</w:t>
            </w:r>
          </w:p>
        </w:tc>
        <w:tc>
          <w:tcPr>
            <w:tcW w:w="800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Adószám:</w:t>
            </w:r>
          </w:p>
        </w:tc>
        <w:tc>
          <w:tcPr>
            <w:tcW w:w="800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Törvényes képviselő neve, titulusa:</w:t>
            </w:r>
          </w:p>
        </w:tc>
        <w:tc>
          <w:tcPr>
            <w:tcW w:w="800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megítélt támogatás összege (Ft):</w:t>
            </w:r>
          </w:p>
        </w:tc>
        <w:tc>
          <w:tcPr>
            <w:tcW w:w="800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 nem használt támogatás összege (Ft):</w:t>
            </w:r>
          </w:p>
        </w:tc>
        <w:tc>
          <w:tcPr>
            <w:tcW w:w="800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Elszámoló lap a támogatás felhasználásáról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Sor-szám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bizonylat sorszáma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bizonylat típusa*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bizonylat kiállítójának neve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bizonylat kiállításának kelte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bizonylaton feltüntetett teljesítés időpontja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gazdasági esemény rövid leírása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(részletek, vonatkozó határozat száma)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bizonylat nettó összege (Ft)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bizonylat bruttó összege (Ft)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bizonylat összegéből a támogatás terhére elszámolt összeg (Ft)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pénzügyi teljesítés (kifizetés) időpontja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Pénztárbizonylat/bankszámlakivo-nat száma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3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Összesen: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 Kiadást igazoló bizonylat típusa, különösen: számla, bérkifizetési összesítő, számlakivonat</w:t>
            </w:r>
          </w:p>
        </w:tc>
      </w:tr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Alulírott büntetőjogi felelősségem tudatában kijelentem, hogy</w:t>
            </w:r>
          </w:p>
        </w:tc>
      </w:tr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-az elszámoló lapon feltüntetett költségek kifizetése előtt azok jogosságáról és összegszerűségéről előzetesen meggyőződtem;</w:t>
            </w:r>
          </w:p>
        </w:tc>
      </w:tr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az elszámoló lapon feltüntetett költségekhez tartozó megrendelés(ek)/szerződés(ek) az azokban foglaltaknak megfelelően teljesült(ek), a Megbízott(ak) a megrendelés(ek)ben/szerződés(ek)ben foglalt(ak)nak eleget tett(ek);</w:t>
            </w:r>
          </w:p>
        </w:tc>
      </w:tr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a támogatást a támogatási cél szerint, a támogatott tevékenységgel kapcsolatos kiadásokra, a támogatói okiratban foglaltaknak megfelelően használtam fel;</w:t>
            </w:r>
          </w:p>
        </w:tc>
      </w:tr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a pénzügyi összesítőben szereplő adatok helyességét, valódiságát, valamint a pénzügyi és számviteli szabályok szerinti elszámolását igazolom;</w:t>
            </w:r>
          </w:p>
        </w:tc>
      </w:tr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a beszámolóban elszámolt költségeket más elszámolásban - támogatás terhére elszámolt költségként - nem szerepeltetem;</w:t>
            </w:r>
          </w:p>
        </w:tc>
      </w:tr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a beszámolóhoz benyújtott valamennyi bizonylat, egyéb dokumentum az eredetivel mindenben megegyező másolat;</w:t>
            </w:r>
          </w:p>
        </w:tc>
      </w:tr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az elszámoló lapon feltüntetett költségeket alátámasztó számviteli bizonylatok maradéktalanul, záradékolva, rendelkezésre állnak a Kedvezményezett vonatkozó szabályzatában megjelölt bizonylat megőrzési helyen.</w:t>
            </w:r>
          </w:p>
        </w:tc>
      </w:tr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Szakmai elszámolás a támogatási összeg felhasználásáról (maximum 4000 karakter):</w:t>
            </w:r>
          </w:p>
        </w:tc>
      </w:tr>
      <w:tr>
        <w:trPr/>
        <w:tc>
          <w:tcPr>
            <w:tcW w:w="7711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Kelt:</w:t>
            </w:r>
          </w:p>
        </w:tc>
      </w:tr>
      <w:tr>
        <w:trPr/>
        <w:tc>
          <w:tcPr>
            <w:tcW w:w="7711" w:type="dxa"/>
            <w:gridSpan w:val="9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92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711" w:type="dxa"/>
            <w:gridSpan w:val="9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927" w:type="dxa"/>
            <w:gridSpan w:val="3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7711" w:type="dxa"/>
            <w:gridSpan w:val="9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927" w:type="dxa"/>
            <w:gridSpan w:val="3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7711" w:type="dxa"/>
            <w:gridSpan w:val="9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9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kedvezményezett aláírása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P.h.</w:t>
            </w:r>
          </w:p>
        </w:tc>
      </w:tr>
      <w:tr>
        <w:trPr/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Alsónyék Község Önkormányzata jelen elszámoló lap alapján határozza meg, hogy mely számviteli bizonylatokat kéri be ellenőrzésre.</w:t>
              <w:br/>
              <w:t>A pénzügyi elszámolás papír alapú dokumentumait Alsónyék Község Önkormányata postacímére (7148 Alsónyék, Fő utca 1. sz.) ajánlott küldeményként, vagy személyesen kell benyújtani.</w:t>
            </w:r>
          </w:p>
        </w:tc>
      </w:tr>
    </w:tbl>
    <w:p>
      <w:pPr>
        <w:pStyle w:val="Normal"/>
        <w:bidi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”</w:t>
      </w:r>
      <w:r>
        <w:br w:type="page"/>
      </w:r>
    </w:p>
    <w:p>
      <w:pPr>
        <w:pStyle w:val="TextBody"/>
        <w:bidi w:val="0"/>
        <w:spacing w:lineRule="auto" w:line="240"/>
        <w:jc w:val="right"/>
        <w:rPr>
          <w:rFonts w:ascii="Times New Roman" w:hAnsi="Times New Roman"/>
          <w:i/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2. melléklet az .../... . (... . ... .) önkormányzati rendelethez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i/>
          <w:iCs/>
          <w:sz w:val="24"/>
          <w:szCs w:val="24"/>
        </w:rPr>
        <w:t>3. melléklet a 6/2014. (III. 20.) önkormányzati rendelethez</w:t>
      </w:r>
    </w:p>
    <w:p>
      <w:pPr>
        <w:sectPr>
          <w:footerReference w:type="default" r:id="rId2"/>
          <w:type w:val="nextPage"/>
          <w:pgSz w:w="11906" w:h="16838"/>
          <w:pgMar w:left="1134" w:right="1134" w:header="0" w:top="1134" w:footer="1134" w:bottom="1693" w:gutter="0"/>
          <w:pgNumType w:fmt="decimal"/>
          <w:formProt w:val="false"/>
          <w:textDirection w:val="lrTb"/>
          <w:docGrid w:type="default" w:linePitch="600" w:charSpace="32768"/>
        </w:sectPr>
        <w:pStyle w:val="TextBody"/>
        <w:bidi w:val="0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(A melléklet szövegét a(z) elszámolási útmutató.pdf elnevezésű fájl tartalmazza.)”</w:t>
      </w:r>
    </w:p>
    <w:p>
      <w:pPr>
        <w:pStyle w:val="TextBody"/>
        <w:bidi w:val="0"/>
        <w:spacing w:before="0" w:after="0"/>
        <w:jc w:val="center"/>
        <w:rPr/>
      </w:pPr>
      <w:r>
        <w:rPr/>
      </w:r>
    </w:p>
    <w:p>
      <w:pPr>
        <w:pStyle w:val="TextBody"/>
        <w:bidi w:val="0"/>
        <w:spacing w:lineRule="auto" w:line="240" w:before="0" w:after="159"/>
        <w:ind w:left="159" w:right="159" w:hanging="0"/>
        <w:jc w:val="center"/>
        <w:rPr/>
      </w:pPr>
      <w:r>
        <w:rPr/>
        <w:t>Általános indokolás</w:t>
      </w:r>
    </w:p>
    <w:p>
      <w:pPr>
        <w:pStyle w:val="TextBody"/>
        <w:bidi w:val="0"/>
        <w:spacing w:lineRule="auto" w:line="240" w:before="159" w:after="159"/>
        <w:ind w:left="159" w:right="159" w:hanging="0"/>
        <w:jc w:val="both"/>
        <w:rPr/>
      </w:pPr>
      <w:r>
        <w:rPr/>
        <w:t>A rendelet elfogadásával az önkormányzat által államháztartáson kívülre nyújtott támogatások elszámolási rendje a hatályos jogszabályoknak megfelelően pontosításra kerül, valamint megteremtésre kerül a lehetőség, hogy a jövőben a képviselő-testület a költségvetési rendeletében közvetlenül állapíthasson meg működési támogatást olyan civil szervezetek részére amelyeket évenként visszatérően önkormányzati támogatásban kíván részesíteni.</w:t>
      </w:r>
    </w:p>
    <w:p>
      <w:pPr>
        <w:pStyle w:val="TextBody"/>
        <w:bidi w:val="0"/>
        <w:spacing w:lineRule="auto" w:line="240" w:before="476" w:after="159"/>
        <w:ind w:left="159" w:right="159" w:hanging="0"/>
        <w:jc w:val="center"/>
        <w:rPr/>
      </w:pPr>
      <w:r>
        <w:rPr/>
        <w:t>Részletes indokolás</w:t>
      </w:r>
    </w:p>
    <w:p>
      <w:pPr>
        <w:pStyle w:val="Normal"/>
        <w:bidi w:val="0"/>
        <w:spacing w:lineRule="auto" w:line="240" w:before="159" w:after="79"/>
        <w:ind w:left="159" w:right="159" w:hanging="0"/>
        <w:jc w:val="center"/>
        <w:rPr>
          <w:b/>
          <w:b/>
          <w:bCs/>
        </w:rPr>
      </w:pPr>
      <w:r>
        <w:rPr>
          <w:b/>
          <w:bCs/>
        </w:rPr>
        <w:t xml:space="preserve">Az 1. §-hoz </w:t>
      </w:r>
    </w:p>
    <w:p>
      <w:pPr>
        <w:pStyle w:val="TextBody"/>
        <w:bidi w:val="0"/>
        <w:spacing w:lineRule="auto" w:line="240" w:before="159" w:after="159"/>
        <w:ind w:left="159" w:right="159" w:hanging="0"/>
        <w:jc w:val="both"/>
        <w:rPr/>
      </w:pPr>
      <w:r>
        <w:rPr/>
        <w:t>A módosítással a rendelet a támogatás nyújtását lehetőségként állapítja meg.</w:t>
      </w:r>
    </w:p>
    <w:p>
      <w:pPr>
        <w:pStyle w:val="Normal"/>
        <w:bidi w:val="0"/>
        <w:spacing w:lineRule="auto" w:line="240" w:before="159" w:after="79"/>
        <w:ind w:left="159" w:right="159" w:hanging="0"/>
        <w:jc w:val="center"/>
        <w:rPr>
          <w:b/>
          <w:b/>
          <w:bCs/>
        </w:rPr>
      </w:pPr>
      <w:r>
        <w:rPr>
          <w:b/>
          <w:bCs/>
        </w:rPr>
        <w:t xml:space="preserve">A 2. §-hoz </w:t>
      </w:r>
    </w:p>
    <w:p>
      <w:pPr>
        <w:pStyle w:val="TextBody"/>
        <w:bidi w:val="0"/>
        <w:spacing w:lineRule="auto" w:line="240" w:before="159" w:after="159"/>
        <w:ind w:left="159" w:right="159" w:hanging="0"/>
        <w:jc w:val="both"/>
        <w:rPr/>
      </w:pPr>
      <w:r>
        <w:rPr/>
        <w:t>Kiemelt szervezeteknek nyújtandó támogatás lehetőségét biztosítja a rendelkezés.</w:t>
      </w:r>
    </w:p>
    <w:p>
      <w:pPr>
        <w:pStyle w:val="Normal"/>
        <w:bidi w:val="0"/>
        <w:spacing w:lineRule="auto" w:line="240" w:before="159" w:after="79"/>
        <w:ind w:left="159" w:right="159" w:hanging="0"/>
        <w:jc w:val="center"/>
        <w:rPr>
          <w:b/>
          <w:b/>
          <w:bCs/>
        </w:rPr>
      </w:pPr>
      <w:r>
        <w:rPr>
          <w:b/>
          <w:bCs/>
        </w:rPr>
        <w:t xml:space="preserve">A 3. §-hoz </w:t>
      </w:r>
    </w:p>
    <w:p>
      <w:pPr>
        <w:pStyle w:val="TextBody"/>
        <w:bidi w:val="0"/>
        <w:spacing w:lineRule="auto" w:line="240" w:before="159" w:after="159"/>
        <w:ind w:left="159" w:right="159" w:hanging="0"/>
        <w:jc w:val="both"/>
        <w:rPr/>
      </w:pPr>
      <w:r>
        <w:rPr/>
        <w:t>Pontosítást tartalmaz a rendelkezés.</w:t>
      </w:r>
    </w:p>
    <w:p>
      <w:pPr>
        <w:pStyle w:val="Normal"/>
        <w:bidi w:val="0"/>
        <w:spacing w:lineRule="auto" w:line="240" w:before="159" w:after="79"/>
        <w:ind w:left="159" w:right="159" w:hanging="0"/>
        <w:jc w:val="center"/>
        <w:rPr>
          <w:b/>
          <w:b/>
          <w:bCs/>
        </w:rPr>
      </w:pPr>
      <w:r>
        <w:rPr>
          <w:b/>
          <w:bCs/>
        </w:rPr>
        <w:t xml:space="preserve">A 4. §-hoz </w:t>
      </w:r>
    </w:p>
    <w:p>
      <w:pPr>
        <w:pStyle w:val="TextBody"/>
        <w:bidi w:val="0"/>
        <w:spacing w:lineRule="auto" w:line="240" w:before="159" w:after="159"/>
        <w:ind w:left="159" w:right="159" w:hanging="0"/>
        <w:jc w:val="both"/>
        <w:rPr/>
      </w:pPr>
      <w:r>
        <w:rPr/>
        <w:t>Pontosítást tartalmaz a rendelkezés, mivel a kiemelt szervezeteknek nem szükséges pályázati eljárásban részt vennie.</w:t>
      </w:r>
    </w:p>
    <w:p>
      <w:pPr>
        <w:pStyle w:val="Normal"/>
        <w:bidi w:val="0"/>
        <w:spacing w:lineRule="auto" w:line="240" w:before="159" w:after="79"/>
        <w:ind w:left="159" w:right="159" w:hanging="0"/>
        <w:jc w:val="center"/>
        <w:rPr>
          <w:b/>
          <w:b/>
          <w:bCs/>
        </w:rPr>
      </w:pPr>
      <w:r>
        <w:rPr>
          <w:b/>
          <w:bCs/>
        </w:rPr>
        <w:t xml:space="preserve">Az 5. §-hoz </w:t>
      </w:r>
    </w:p>
    <w:p>
      <w:pPr>
        <w:pStyle w:val="TextBody"/>
        <w:bidi w:val="0"/>
        <w:spacing w:lineRule="auto" w:line="240" w:before="159" w:after="159"/>
        <w:ind w:left="159" w:right="159" w:hanging="0"/>
        <w:jc w:val="both"/>
        <w:rPr/>
      </w:pPr>
      <w:r>
        <w:rPr/>
        <w:t>Jogszabály megnevezése javításra kerül.</w:t>
      </w:r>
    </w:p>
    <w:p>
      <w:pPr>
        <w:pStyle w:val="Normal"/>
        <w:bidi w:val="0"/>
        <w:spacing w:lineRule="auto" w:line="240" w:before="159" w:after="79"/>
        <w:ind w:left="159" w:right="159" w:hanging="0"/>
        <w:jc w:val="center"/>
        <w:rPr>
          <w:b/>
          <w:b/>
          <w:bCs/>
        </w:rPr>
      </w:pPr>
      <w:r>
        <w:rPr>
          <w:b/>
          <w:bCs/>
        </w:rPr>
        <w:t xml:space="preserve">A 6. §-hoz </w:t>
      </w:r>
    </w:p>
    <w:p>
      <w:pPr>
        <w:pStyle w:val="TextBody"/>
        <w:bidi w:val="0"/>
        <w:spacing w:lineRule="auto" w:line="240" w:before="159" w:after="159"/>
        <w:ind w:left="159" w:right="159" w:hanging="0"/>
        <w:jc w:val="both"/>
        <w:rPr/>
      </w:pPr>
      <w:r>
        <w:rPr/>
        <w:t>A 3. mellékletben elhelyezett útmutató a támogatás felhasználásra vonatkozó irányokat, az elszámolás részletszabályait állapítja meg. A rendelet hatályba lépését követően ezen elszámolási szabályok alkalmazásával készülnek a támogatási szerződések.</w:t>
      </w:r>
    </w:p>
    <w:p>
      <w:pPr>
        <w:pStyle w:val="Normal"/>
        <w:bidi w:val="0"/>
        <w:spacing w:lineRule="auto" w:line="240" w:before="159" w:after="79"/>
        <w:ind w:left="159" w:right="159" w:hanging="0"/>
        <w:jc w:val="center"/>
        <w:rPr>
          <w:b/>
          <w:b/>
          <w:bCs/>
        </w:rPr>
      </w:pPr>
      <w:r>
        <w:rPr>
          <w:b/>
          <w:bCs/>
        </w:rPr>
        <w:t xml:space="preserve">A 7. §-hoz </w:t>
      </w:r>
    </w:p>
    <w:p>
      <w:pPr>
        <w:pStyle w:val="TextBody"/>
        <w:bidi w:val="0"/>
        <w:spacing w:lineRule="auto" w:line="240" w:before="159" w:after="159"/>
        <w:ind w:left="159" w:right="159" w:hanging="0"/>
        <w:jc w:val="both"/>
        <w:rPr/>
      </w:pPr>
      <w:r>
        <w:rPr/>
        <w:t>A rendelkezés a hatályos jogszabályoknak megfelelően kialakított elszámoló lapot szabályozza újra.</w:t>
      </w:r>
    </w:p>
    <w:p>
      <w:pPr>
        <w:pStyle w:val="TextBody"/>
        <w:bidi w:val="0"/>
        <w:spacing w:lineRule="auto" w:line="240" w:before="159" w:after="159"/>
        <w:ind w:left="159" w:right="159" w:hanging="0"/>
        <w:jc w:val="both"/>
        <w:rPr/>
      </w:pPr>
      <w:r>
        <w:rPr/>
        <w:t>Továbbá az elszámolási részletszabályokat részletező útmutatót tartalmazza.</w:t>
      </w:r>
    </w:p>
    <w:p>
      <w:pPr>
        <w:pStyle w:val="Normal"/>
        <w:bidi w:val="0"/>
        <w:spacing w:lineRule="auto" w:line="240" w:before="159" w:after="79"/>
        <w:ind w:left="159" w:right="159" w:hanging="0"/>
        <w:jc w:val="center"/>
        <w:rPr>
          <w:b/>
          <w:b/>
          <w:bCs/>
        </w:rPr>
      </w:pPr>
      <w:r>
        <w:rPr>
          <w:b/>
          <w:bCs/>
        </w:rPr>
        <w:t xml:space="preserve">A 8. §-hoz </w:t>
      </w:r>
    </w:p>
    <w:p>
      <w:pPr>
        <w:pStyle w:val="TextBody"/>
        <w:bidi w:val="0"/>
        <w:spacing w:lineRule="auto" w:line="240" w:before="159" w:after="159"/>
        <w:ind w:left="159" w:right="159" w:hanging="0"/>
        <w:jc w:val="both"/>
        <w:rPr/>
      </w:pPr>
      <w:r>
        <w:rPr/>
        <w:t>Hatályba léptető rendelkezést tartalmaz.</w:t>
      </w:r>
    </w:p>
    <w:p>
      <w:pPr>
        <w:pStyle w:val="Normal"/>
        <w:bidi w:val="0"/>
        <w:spacing w:lineRule="auto" w:line="240" w:before="159" w:after="79"/>
        <w:ind w:left="159" w:right="159" w:hanging="0"/>
        <w:jc w:val="center"/>
        <w:rPr>
          <w:b/>
          <w:b/>
          <w:bCs/>
        </w:rPr>
      </w:pPr>
      <w:r>
        <w:rPr>
          <w:b/>
          <w:bCs/>
        </w:rPr>
        <w:t xml:space="preserve">Az 1. melléklethez </w:t>
      </w:r>
    </w:p>
    <w:p>
      <w:pPr>
        <w:pStyle w:val="TextBody"/>
        <w:bidi w:val="0"/>
        <w:spacing w:lineRule="auto" w:line="240" w:before="159" w:after="159"/>
        <w:ind w:left="159" w:right="159" w:hanging="0"/>
        <w:jc w:val="both"/>
        <w:rPr/>
      </w:pPr>
      <w:r>
        <w:rPr/>
        <w:t>A hatályos jogszabályoknak megfelelően kialakított elszámoló lapot tartalmazza.</w:t>
      </w:r>
    </w:p>
    <w:p>
      <w:pPr>
        <w:pStyle w:val="Normal"/>
        <w:bidi w:val="0"/>
        <w:spacing w:lineRule="auto" w:line="240" w:before="159" w:after="79"/>
        <w:ind w:left="159" w:right="159" w:hanging="0"/>
        <w:jc w:val="center"/>
        <w:rPr>
          <w:b/>
          <w:b/>
          <w:bCs/>
        </w:rPr>
      </w:pPr>
      <w:r>
        <w:rPr>
          <w:b/>
          <w:bCs/>
        </w:rPr>
        <w:t xml:space="preserve">A 2. melléklethez </w:t>
      </w:r>
    </w:p>
    <w:p>
      <w:pPr>
        <w:pStyle w:val="TextBody"/>
        <w:bidi w:val="0"/>
        <w:spacing w:lineRule="auto" w:line="240" w:before="159" w:after="159"/>
        <w:ind w:left="159" w:right="159" w:hanging="0"/>
        <w:jc w:val="both"/>
        <w:rPr/>
      </w:pPr>
      <w:r>
        <w:rPr/>
        <w:t>Az elszámolási útmutató szövegét tartalmazza.</w:t>
      </w:r>
    </w:p>
    <w:sectPr>
      <w:footerReference w:type="default" r:id="rId3"/>
      <w:type w:val="nextPage"/>
      <w:pgSz w:w="11906" w:h="16838"/>
      <w:pgMar w:left="1134" w:right="1134" w:header="0" w:top="1134" w:footer="1134" w:bottom="1693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Noto Sans CJK SC Regular" w:cs="FreeSans"/>
      <w:color w:val="auto"/>
      <w:kern w:val="2"/>
      <w:sz w:val="24"/>
      <w:szCs w:val="24"/>
      <w:lang w:val="hu-HU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InternetLink">
    <w:name w:val="Hyperlink"/>
    <w:rPr>
      <w:color w:val="000080"/>
      <w:u w:val="single"/>
    </w:rPr>
  </w:style>
  <w:style w:type="character" w:styleId="VisitedInternetLink">
    <w:name w:val="FollowedHyperlink"/>
    <w:rPr>
      <w:color w:val="800000"/>
      <w:u w:val="single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>
      <w:lang w:val="hu-HU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LibreOffice/7.0.6.2$Linux_X86_64 LibreOffice_project/144abb84a525d8e30c9dbbefa69cbbf2d8d4ae3b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2017-08-15T13:24:49Z</dcterms:created>
  <dc:creator/>
  <dc:description/>
  <dc:language>en-US</dc:language>
  <cp:lastModifiedBy/>
  <dcterms:modified xsi:type="dcterms:W3CDTF">2018-01-30T11:27:53Z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